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672</w:t>
        <w:t xml:space="preserve">.  </w:t>
      </w:r>
      <w:r>
        <w:rPr>
          <w:b/>
        </w:rPr>
        <w:t xml:space="preserve">Surety bond business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673</w:t>
        <w:t xml:space="preserve">.  </w:t>
      </w:r>
      <w:r>
        <w:rPr>
          <w:b/>
        </w:rPr>
        <w:t xml:space="preserve">Use of word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§11 (AMD). PL 1985, c. 647, §9 (AMD). PL 1995, c. 628,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67.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