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INDUSTRIAL BANKS</w:t>
      </w:r>
    </w:p>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91. INDUSTRIAL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INDUSTRIAL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91. INDUSTRIAL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