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Bureau of Financial Institutions</w:t>
      </w:r>
    </w:p>
    <w:p>
      <w:pPr>
        <w:jc w:val="both"/>
        <w:spacing w:before="100" w:after="100"/>
        <w:ind w:start="360"/>
        <w:ind w:firstLine="360"/>
      </w:pPr>
      <w:r>
        <w:rPr/>
      </w:r>
      <w:r>
        <w:rPr/>
      </w:r>
      <w:r>
        <w:t xml:space="preserve">There is created under this Title a Bureau of Financial Institutions, which has the responsibility of administering the provisions of this Title.  In addition, in cases in which a financial institution is the creditor, the Bureau of Financial Institutions has the responsibility of administering the provisions of the Maine Consumer Credit Code pursuant to </w:t>
      </w:r>
      <w:r>
        <w:t>Title 9‑A, section 1‑301,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44, §3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1995, c. 309, §15 (AMD). PL 1995, c. 309, §29 (AFF). PL 2001, c. 44, §3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Bureau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Bureau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§121. BUREAU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