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§1226. Holding companies of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Holding companies of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§1226. HOLDING COMPANIES OF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