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Conversions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may convert a Maine representative office to a Maine agency or Maine branch, or convert a Maine agency to a Maine representative office or a Maine branch, or convert a Maine branch to a Maine agency or Maine representative office with the prior approval of the superintendent.  A foreign bank may also convert a federal branch or agency to a Maine branch or Maine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Applications.</w:t>
        <w:t xml:space="preserve"> </w:t>
      </w:r>
      <w:r>
        <w:t xml:space="preserve"> </w:t>
      </w:r>
      <w:r>
        <w:t xml:space="preserve">Applications for prior approval of conversions must be processed in accordance with </w:t>
      </w:r>
      <w:r>
        <w:t>sections 252</w:t>
      </w:r>
      <w:r>
        <w:t xml:space="preserve"> and </w:t>
      </w:r>
      <w:r>
        <w:t>253</w:t>
      </w:r>
      <w:r>
        <w:t xml:space="preserve"> or </w:t>
      </w:r>
      <w:r>
        <w:t>section 1315</w:t>
      </w:r>
      <w:r>
        <w:t xml:space="preserve">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§1324.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