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 Subpoena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Subpoena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§227. SUBPOENA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