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Rule-making</w:t>
      </w:r>
    </w:p>
    <w:p>
      <w:pPr>
        <w:jc w:val="both"/>
        <w:spacing w:before="100" w:after="100"/>
        <w:ind w:start="360"/>
        <w:ind w:firstLine="360"/>
      </w:pPr>
      <w:r>
        <w:rPr/>
      </w:r>
      <w:r>
        <w:rPr/>
      </w:r>
      <w:r>
        <w:t xml:space="preserve">Promulgation of rules of the bureau, and amendments thereto, shall conform to the requirements of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§§7-A,8,9 (AMD). PL 1977, c. 694, §158 (RPR). PL 1983, c. 182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