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Applicability of chapter</w:t>
      </w:r>
    </w:p>
    <w:p>
      <w:pPr>
        <w:jc w:val="both"/>
        <w:spacing w:before="100" w:after="100"/>
        <w:ind w:start="360"/>
        <w:ind w:firstLine="360"/>
      </w:pPr>
      <w:r>
        <w:rPr/>
      </w:r>
      <w:r>
        <w:rPr/>
      </w:r>
      <w:r>
        <w:t xml:space="preserve">Notwithstanding any other provisions of law, the provisions of this chapter apply to and supersede any other provision of law governing conservation, liquidation and insolvency of financial institutions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322,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§H1 (AMD). PL 2003, c. 322,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