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Rulemaking</w:t>
      </w:r>
    </w:p>
    <w:p>
      <w:pPr>
        <w:jc w:val="both"/>
        <w:spacing w:before="100" w:after="100"/>
        <w:ind w:start="360"/>
        <w:ind w:firstLine="360"/>
      </w:pPr>
      <w:r>
        <w:rPr/>
      </w:r>
      <w:r>
        <w:rPr/>
      </w:r>
      <w:r>
        <w:t xml:space="preserve">The superintendent may adopt rules governing the trust activities of financial institutions.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§475.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