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such meeting to be made in the manner prescribed in the bylaws. As set forth below, the special duties of the board of directors shall be: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provided that such committee or membership officer so authorized shall submit to the board at each monthly meeting a list of approved or pending applications for membership received since the previous monthly meeting, together with such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To fix from time to time the maximum amount, both secured and unsecured, which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§29 (AMD).]</w:t>
      </w:r>
    </w:p>
    <w:p>
      <w:pPr>
        <w:jc w:val="both"/>
        <w:spacing w:before="100" w:after="0"/>
        <w:ind w:start="720"/>
      </w:pPr>
      <w:r>
        <w:rPr/>
        <w:t>C</w:t>
        <w:t xml:space="preserve">.  </w:t>
      </w:r>
      <w:r>
        <w:rPr/>
      </w:r>
      <w:r>
        <w:t xml:space="preserve">To authorize the employment of such person or persons as may be necessary to carry on the business of the credit union; and to fix the compensation of such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which is not less than an amount recommended by the superintendent, which shall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such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1997, c. 108, §13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less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2003, c. 322, §31 (AMD).]</w:t>
      </w:r>
    </w:p>
    <w:p>
      <w:pPr>
        <w:jc w:val="both"/>
        <w:spacing w:before="100" w:after="0"/>
        <w:ind w:start="720"/>
      </w:pPr>
      <w:r>
        <w:rPr/>
        <w:t>K</w:t>
        <w:t xml:space="preserve">.  </w:t>
      </w:r>
      <w:r>
        <w:rPr/>
      </w:r>
      <w:r>
        <w:t xml:space="preserve">To appoint a credit committee of not less than 3 members, or establish a written loan policy which provides for the designation of one or more loan officers in lieu of a credit committee and with all loans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1983, c. 51, §4 (RPR).]</w:t>
      </w:r>
    </w:p>
    <w:p>
      <w:pPr>
        <w:jc w:val="both"/>
        <w:spacing w:before="100" w:after="0"/>
        <w:ind w:start="720"/>
      </w:pPr>
      <w:r>
        <w:rPr/>
        <w:t>L</w:t>
        <w:t xml:space="preserve">.  </w:t>
      </w:r>
      <w:r>
        <w:rPr/>
      </w:r>
      <w:r>
        <w:t xml:space="preserve">To appoint an executive committee, when the bylaws so provide, consisting of not less than 3 members of the board with authority to invest funds or borrow in the name of the credit union, except that the board may establish a written investment policy which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1983, c. 51, §4 (RPR).]</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of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which shall be charged on loans; and to determine from time to time the amount of interest rebate and the interval on which such rebate if any, shall be computed;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§§29-31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§842.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§842.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