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Officers and employees</w:t>
      </w:r>
    </w:p>
    <w:p>
      <w:pPr>
        <w:jc w:val="both"/>
        <w:spacing w:before="100" w:after="100"/>
        <w:ind w:start="360"/>
        <w:ind w:firstLine="360"/>
      </w:pPr>
      <w:r>
        <w:rPr>
          <w:b/>
        </w:rPr>
        <w:t>1</w:t>
        <w:t xml:space="preserve">.  </w:t>
      </w:r>
      <w:r>
        <w:rPr>
          <w:b/>
        </w:rPr>
        <w:t xml:space="preserve">Election.</w:t>
        <w:t xml:space="preserve"> </w:t>
      </w:r>
    </w:p>
    <w:p>
      <w:pPr>
        <w:jc w:val="both"/>
        <w:spacing w:before="100" w:after="0"/>
        <w:ind w:start="720"/>
      </w:pPr>
      <w:r>
        <w:rPr/>
        <w:t>A</w:t>
        <w:t xml:space="preserve">.  </w:t>
      </w:r>
      <w:r>
        <w:rPr/>
      </w:r>
      <w:r>
        <w:t xml:space="preserve">The directors, at their first meeting after the annual meeting of the members, shall elect from their own number the board officers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51, §5 (AMD).]</w:t>
      </w:r>
    </w:p>
    <w:p>
      <w:pPr>
        <w:jc w:val="both"/>
        <w:spacing w:before="100" w:after="0"/>
        <w:ind w:start="720"/>
      </w:pPr>
      <w:r>
        <w:rPr/>
        <w:t>B</w:t>
        <w:t xml:space="preserve">.  </w:t>
      </w:r>
      <w:r>
        <w:rPr/>
      </w:r>
      <w:r>
        <w:t xml:space="preserve">Those persons elected in </w:t>
      </w:r>
      <w:r>
        <w:t>paragraph A</w:t>
      </w:r>
      <w:r>
        <w:t xml:space="preserve"> shall be the officers of the corporation, and shall hold office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§5 (AMD).]</w:t>
      </w:r>
    </w:p>
    <w:p>
      <w:pPr>
        <w:jc w:val="both"/>
        <w:spacing w:before="100" w:after="100"/>
        <w:ind w:start="360"/>
        <w:ind w:firstLine="360"/>
      </w:pPr>
      <w:r>
        <w:rPr>
          <w:b/>
        </w:rPr>
        <w:t>2</w:t>
        <w:t xml:space="preserve">.  </w:t>
      </w:r>
      <w:r>
        <w:rPr>
          <w:b/>
        </w:rPr>
        <w:t xml:space="preserve">Bond.</w:t>
        <w:t xml:space="preserve"> </w:t>
      </w:r>
    </w:p>
    <w:p>
      <w:pPr>
        <w:jc w:val="both"/>
        <w:spacing w:before="100" w:after="0"/>
        <w:ind w:start="720"/>
      </w:pPr>
      <w:r>
        <w:rPr/>
        <w:t>A</w:t>
        <w:t xml:space="preserve">.  </w:t>
      </w:r>
      <w:r>
        <w:rPr/>
      </w:r>
      <w:r>
        <w:t xml:space="preserve">The treasurer and all other officers and employees of a credit union having access to the cash or negotiable securities in its possession shall each give bond, including faithful performance clause, to the credit union in such amount and with such surety or sureties and conditions as the superintendent may prescribe, and shall file with the superintendent an attested copy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treasurer and any other officers and employees required to give bond may be included in one or more blanket or schedule bonds.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treasurer, or any other officer serving in the capacity of general manager, may be compensated in such amount as the board of directors may from time to time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Benefits.</w:t>
        <w:t xml:space="preserve"> </w:t>
      </w:r>
      <w:r>
        <w:t xml:space="preserve"> </w:t>
      </w:r>
      <w:r>
        <w:t xml:space="preserve">A credit union may provide employee benefits, including retirement benefits, to its employees and officers.  The kind and amount of these benefits must be reasonable given the credit union's size and financial condition and the duties of the employees and officers.  A credit union investing to fund an employee benefit plan obligation is not subject to the investment limitations of </w:t>
      </w:r>
      <w:r>
        <w:t>section 862</w:t>
      </w:r>
      <w:r>
        <w:t xml:space="preserve"> and may purchase an investment that would otherwise be impermissible if the investment is directly related to the credit union's obligation or potential obligation under the employee benefit plan and the credit union holds the investment only for as long as it has an actual or potential obligation under the employee benefit plan.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§5 (AMD). PL 2005, c. 468,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§843.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§843.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