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Acquisitions</w:t>
      </w:r>
    </w:p>
    <w:p>
      <w:pPr>
        <w:jc w:val="both"/>
        <w:spacing w:before="100" w:after="100"/>
        <w:ind w:start="360"/>
        <w:ind w:firstLine="360"/>
      </w:pPr>
      <w:r>
        <w:rPr/>
      </w:r>
      <w:r>
        <w:rPr/>
      </w:r>
      <w:r>
        <w:t xml:space="preserve">A credit union organized under the laws of this State may acquire all or substantially all the assets of, or assume the liabilities of, any other credit union organized under provisions of the laws of this State, another state or federal laws or any financial institution authorized to do business in this State; provided that such purchase or sale pursuant to this section be executed in accordance with the requirements of </w:t>
      </w:r>
      <w:r>
        <w:t>section 355</w:t>
      </w:r>
      <w:r>
        <w:t xml:space="preserve"> and be subject to the provisions of </w:t>
      </w:r>
      <w:r>
        <w:t>sections 357</w:t>
      </w:r>
      <w:r>
        <w:t xml:space="preserve"> and </w:t>
      </w:r>
      <w:r>
        <w:t>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§30 (RPR). PL 2001, c. 211,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§876.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§876.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