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Definition</w:t>
      </w:r>
    </w:p>
    <w:p>
      <w:pPr>
        <w:jc w:val="both"/>
        <w:spacing w:before="100" w:after="100"/>
        <w:ind w:start="360"/>
        <w:ind w:firstLine="360"/>
      </w:pPr>
      <w:r>
        <w:rPr/>
      </w:r>
      <w:r>
        <w:rPr/>
      </w:r>
      <w:r>
        <w:t xml:space="preserve">"Industrial bank" means a corporation organized under </w:t>
      </w:r>
      <w:r>
        <w:t>Title 9, Part 5</w:t>
      </w:r>
      <w:r>
        <w:t xml:space="preserve"> as repealed on October 1, 1975 and which was, on or before June 1, 1967, making loans and selling certificates of investment, either of fixed or uncertain term, and receiving payments in installments or otherwise, with or without an allowance of interest upon these installments.</w:t>
      </w:r>
      <w:r>
        <w:t xml:space="preserve">  </w:t>
      </w:r>
      <w:r xmlns:wp="http://schemas.openxmlformats.org/drawingml/2010/wordprocessingDrawing" xmlns:w15="http://schemas.microsoft.com/office/word/2012/wordml">
        <w:rPr>
          <w:rFonts w:ascii="Arial" w:hAnsi="Arial" w:cs="Arial"/>
          <w:sz w:val="22"/>
          <w:szCs w:val="22"/>
        </w:rPr>
        <w:t xml:space="preserve">[RR 1997, c. 2,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