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5008-B</w:t>
        <w:t xml:space="preserve">.  </w:t>
      </w:r>
      <w:r>
        <w:rPr>
          <w:b/>
        </w:rPr>
        <w:t xml:space="preserve">Annual fund-raising activity reports to be filed by professional solicitors</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professional solicitor licensed pursuant to </w:t>
      </w:r>
      <w:r>
        <w:t>section 5008‑A</w:t>
      </w:r>
      <w:r>
        <w:t xml:space="preserve"> shall submit to the director an annual fund-raising activity report that reflects data from the licensee's preceding fiscal year, on a form prescribed by the director, as part of its application for license renewal. The report must state, at a minimum, the following:</w:t>
      </w:r>
    </w:p>
    <w:p>
      <w:pPr>
        <w:jc w:val="both"/>
        <w:spacing w:before="100" w:after="0"/>
        <w:ind w:start="720"/>
      </w:pPr>
      <w:r>
        <w:rPr/>
        <w:t>A</w:t>
        <w:t xml:space="preserve">.  </w:t>
      </w:r>
      <w:r>
        <w:rPr/>
      </w:r>
      <w:r>
        <w:t xml:space="preserve">The name, mailing address, telephone number and license number of the licensee making the report;</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B</w:t>
        <w:t xml:space="preserve">.  </w:t>
      </w:r>
      <w:r>
        <w:rPr/>
      </w:r>
      <w:r>
        <w:t xml:space="preserve">The name, mailing address, telephone number and license number of each charitable organization with which the licensee contracted to solicit contributions in this State;</w:t>
      </w:r>
      <w:r>
        <w:t xml:space="preserve">  </w:t>
      </w:r>
      <w:r xmlns:wp="http://schemas.openxmlformats.org/drawingml/2010/wordprocessingDrawing" xmlns:w15="http://schemas.microsoft.com/office/word/2012/wordml">
        <w:rPr>
          <w:rFonts w:ascii="Arial" w:hAnsi="Arial" w:cs="Arial"/>
          <w:sz w:val="22"/>
          <w:szCs w:val="22"/>
        </w:rPr>
        <w:t xml:space="preserve">[PL 2013, c. 539, §14 (AMD).]</w:t>
      </w:r>
    </w:p>
    <w:p>
      <w:pPr>
        <w:jc w:val="both"/>
        <w:spacing w:before="100" w:after="0"/>
        <w:ind w:start="720"/>
      </w:pPr>
      <w:r>
        <w:rPr/>
        <w:t>C</w:t>
        <w:t xml:space="preserve">.  </w:t>
      </w:r>
      <w:r>
        <w:rPr/>
      </w:r>
      <w:r>
        <w:t xml:space="preserve">The total dollar amount of contributions raised in this State during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D</w:t>
        <w:t xml:space="preserve">.  </w:t>
      </w:r>
      <w:r>
        <w:rPr/>
      </w:r>
      <w:r>
        <w:t xml:space="preserve">The total dollar amount of contributions raised in this State that was actually received and retained by the charitable organization from each fund-raising campaign and for the year;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The total dollar amount attributable to contributions raised in this State that was retained by or paid to the licensee from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§14 (AMD).]</w:t>
      </w:r>
    </w:p>
    <w:p>
      <w:pPr>
        <w:jc w:val="both"/>
        <w:spacing w:before="100" w:after="0"/>
        <w:ind w:start="360"/>
        <w:ind w:firstLine="360"/>
      </w:pPr>
      <w:r>
        <w:rPr>
          <w:b/>
        </w:rPr>
        <w:t>2</w:t>
        <w:t xml:space="preserve">.  </w:t>
      </w:r>
      <w:r>
        <w:rPr>
          <w:b/>
        </w:rPr>
        <w:t xml:space="preserve">Failure to file; discrepancies.</w:t>
        <w:t xml:space="preserve"> </w:t>
      </w:r>
      <w:r>
        <w:t xml:space="preserve"> </w:t>
      </w:r>
      <w:r>
        <w:t xml:space="preserve">Failure to file the annual fund-raising activity report required under this section or filing a report that contains discrepancies between that report and the report submitted by the charitable organization with which the professional solicitor has contracted may result in disciplinary action as provided under </w:t>
      </w:r>
      <w:r>
        <w:t>Title 10, section 8003, subsection 5‑A</w:t>
      </w:r>
      <w:r>
        <w:t xml:space="preserve">. To resolve a disagreement between reports, the director may require the professional solicitor to submit an annual fund-raising activity report according to a fiscal year other than the professional solicitor's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§14 (AMD).]</w:t>
      </w:r>
    </w:p>
    <w:p>
      <w:pPr>
        <w:jc w:val="both"/>
        <w:spacing w:before="100" w:after="0"/>
        <w:ind w:start="360"/>
        <w:ind w:firstLine="360"/>
      </w:pPr>
      <w:r>
        <w:rPr>
          <w:b/>
        </w:rPr>
        <w:t>3</w:t>
        <w:t xml:space="preserve">.  </w:t>
      </w:r>
      <w:r>
        <w:rPr>
          <w:b/>
        </w:rPr>
        <w:t xml:space="preserve">Contracting with unlicensed charitable organization.</w:t>
        <w:t xml:space="preserve"> </w:t>
      </w:r>
      <w:r>
        <w:t xml:space="preserve"> </w:t>
      </w:r>
      <w:r>
        <w:t xml:space="preserve">A person may not contract with an unlicensed charitable organization for the solicitation of funds from the State's residents.  A violation of this subsection may result in disciplinary action as provided under </w:t>
      </w:r>
      <w:r>
        <w:t>Title 10, section 8003,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 PL 2013, c. 539,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§5008-B. Annual fund-raising activity reports to be filed by professional solicitors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§5008-B. Annual fund-raising activity reports to be filed by professional solicitors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§5008-B. ANNUAL FUND-RAISING ACTIVITY REPORTS TO BE FILED BY PROFESSIONAL SOLICITORS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